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AC" w:rsidRDefault="00D76CAC" w:rsidP="00D76CAC">
      <w:pPr>
        <w:pStyle w:val="Style2"/>
        <w:kinsoku w:val="0"/>
        <w:autoSpaceDE/>
        <w:autoSpaceDN/>
        <w:spacing w:line="204" w:lineRule="auto"/>
        <w:ind w:right="0"/>
        <w:jc w:val="center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>RESOLUCION No. 552-02</w:t>
      </w:r>
    </w:p>
    <w:p w:rsidR="00D76CAC" w:rsidRDefault="00D76CAC" w:rsidP="00D76CAC">
      <w:pPr>
        <w:pStyle w:val="Style1"/>
        <w:kinsoku w:val="0"/>
        <w:autoSpaceDE/>
        <w:autoSpaceDN/>
        <w:adjustRightInd/>
        <w:spacing w:before="288"/>
        <w:ind w:right="72"/>
        <w:rPr>
          <w:spacing w:val="-3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TRANSPORTE. </w:t>
      </w:r>
      <w:r>
        <w:rPr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veintisiete minutos del dieciséis de octubre de dos mil dos.-</w:t>
      </w:r>
    </w:p>
    <w:p w:rsidR="00D76CAC" w:rsidRDefault="00D76CAC" w:rsidP="00D76CAC">
      <w:pPr>
        <w:pStyle w:val="Style2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1"/>
          <w:lang w:val="es-ES" w:eastAsia="es-ES"/>
        </w:rPr>
        <w:t xml:space="preserve">MAPS, </w:t>
      </w:r>
      <w:r>
        <w:rPr>
          <w:rStyle w:val="CharacterStyle1"/>
          <w:b/>
          <w:bCs/>
          <w:spacing w:val="10"/>
          <w:lang w:val="es-ES" w:eastAsia="es-ES"/>
        </w:rPr>
        <w:t xml:space="preserve">cédula de </w:t>
      </w:r>
      <w:proofErr w:type="gramStart"/>
      <w:r>
        <w:rPr>
          <w:rStyle w:val="CharacterStyle1"/>
          <w:b/>
          <w:bCs/>
          <w:spacing w:val="10"/>
          <w:lang w:val="es-ES" w:eastAsia="es-ES"/>
        </w:rPr>
        <w:t>identidad …</w:t>
      </w:r>
      <w:proofErr w:type="gramEnd"/>
      <w:r>
        <w:rPr>
          <w:rStyle w:val="CharacterStyle1"/>
          <w:b/>
          <w:bCs/>
          <w:spacing w:val="10"/>
          <w:lang w:val="es-ES" w:eastAsia="es-ES"/>
        </w:rPr>
        <w:t>., en representación de DASP</w:t>
      </w:r>
      <w:r>
        <w:rPr>
          <w:rStyle w:val="CharacterStyle1"/>
          <w:b/>
          <w:bCs/>
          <w:spacing w:val="-3"/>
          <w:lang w:val="es-ES" w:eastAsia="es-ES"/>
        </w:rPr>
        <w:t xml:space="preserve">, cédula de identidad número ….., </w:t>
      </w:r>
      <w:r>
        <w:rPr>
          <w:rStyle w:val="CharacterStyle1"/>
          <w:spacing w:val="-3"/>
          <w:w w:val="105"/>
          <w:lang w:val="es-ES" w:eastAsia="es-ES"/>
        </w:rPr>
        <w:t xml:space="preserve">contra el Acuerdo N° 1 de la Sesión </w:t>
      </w:r>
      <w:r>
        <w:rPr>
          <w:rStyle w:val="CharacterStyle1"/>
          <w:spacing w:val="-7"/>
          <w:w w:val="105"/>
          <w:lang w:val="es-ES" w:eastAsia="es-ES"/>
        </w:rPr>
        <w:t xml:space="preserve">Extraordinaria 037-2001 de fecha 24 de octubre del 2001 de Junta Directiva del Consejo de </w:t>
      </w:r>
      <w:r>
        <w:rPr>
          <w:rStyle w:val="CharacterStyle1"/>
          <w:spacing w:val="-3"/>
          <w:w w:val="105"/>
          <w:lang w:val="es-ES" w:eastAsia="es-ES"/>
        </w:rPr>
        <w:t xml:space="preserve">Transporte Público, notificada mediante el Alcance número 75-A a La Gaceta 207 de fecha </w:t>
      </w:r>
      <w:r>
        <w:rPr>
          <w:rStyle w:val="CharacterStyle1"/>
          <w:w w:val="105"/>
          <w:lang w:val="es-ES" w:eastAsia="es-ES"/>
        </w:rPr>
        <w:t xml:space="preserve">29 de octubre del 2001, tramitado en este Despacho bajo el </w:t>
      </w:r>
      <w:r>
        <w:rPr>
          <w:rStyle w:val="CharacterStyle1"/>
          <w:b/>
          <w:bCs/>
          <w:lang w:val="es-ES" w:eastAsia="es-ES"/>
        </w:rPr>
        <w:t>Expediente Administrativo No. TAT-566-02.</w:t>
      </w:r>
    </w:p>
    <w:p w:rsidR="00D76CAC" w:rsidRDefault="00D76CAC" w:rsidP="00D76CAC">
      <w:pPr>
        <w:pStyle w:val="Style2"/>
        <w:kinsoku w:val="0"/>
        <w:autoSpaceDE/>
        <w:autoSpaceDN/>
        <w:spacing w:line="204" w:lineRule="auto"/>
        <w:ind w:right="0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RESULTANDO:</w:t>
      </w:r>
    </w:p>
    <w:p w:rsidR="00D76CAC" w:rsidRDefault="00D76CAC" w:rsidP="00D76CAC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D76CAC" w:rsidRDefault="00D76CAC" w:rsidP="00D76CAC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D76CAC" w:rsidRDefault="00D76CAC" w:rsidP="00D76CAC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TERCERO: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2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w w:val="105"/>
          <w:lang w:val="es-ES" w:eastAsia="es-ES"/>
        </w:rPr>
        <w:t>60 puntos.</w:t>
      </w:r>
    </w:p>
    <w:p w:rsidR="00D76CAC" w:rsidRDefault="00D76CAC" w:rsidP="00D76CAC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2001, el recurrente nuevamente obtiene una calificación de 60 puntos.</w:t>
      </w:r>
    </w:p>
    <w:p w:rsidR="00D76CAC" w:rsidRDefault="00D76CAC" w:rsidP="00D76CAC">
      <w:pPr>
        <w:pStyle w:val="Style2"/>
        <w:kinsoku w:val="0"/>
        <w:autoSpaceDE/>
        <w:autoSpaceDN/>
        <w:spacing w:before="216"/>
        <w:ind w:right="0"/>
        <w:jc w:val="center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QUINTO: </w:t>
      </w:r>
      <w:r>
        <w:rPr>
          <w:rStyle w:val="CharacterStyle1"/>
          <w:spacing w:val="-2"/>
          <w:w w:val="105"/>
          <w:lang w:val="es-ES" w:eastAsia="es-ES"/>
        </w:rPr>
        <w:t>Que el Consejo de Transporte Público, en la sesión extraordinaria 037-2001 del</w:t>
      </w:r>
      <w:r>
        <w:rPr>
          <w:rStyle w:val="CharacterStyle1"/>
          <w:spacing w:val="-2"/>
          <w:w w:val="105"/>
          <w:lang w:val="es-ES" w:eastAsia="es-ES"/>
        </w:rPr>
        <w:br/>
      </w:r>
      <w:r>
        <w:rPr>
          <w:rStyle w:val="CharacterStyle1"/>
          <w:spacing w:val="-1"/>
          <w:w w:val="105"/>
          <w:lang w:val="es-ES" w:eastAsia="es-ES"/>
        </w:rPr>
        <w:t>24 de octubre del 2001, publicada en el Alcance No. 75-A a La Gaceta No. 207, de fecha</w:t>
      </w:r>
      <w:r>
        <w:rPr>
          <w:rStyle w:val="CharacterStyle1"/>
          <w:spacing w:val="-1"/>
          <w:w w:val="105"/>
          <w:lang w:val="es-ES" w:eastAsia="es-ES"/>
        </w:rPr>
        <w:br/>
        <w:t>29 de octubre del 2001, emite el acto de adjudicación del Primer Procedimiento Especial</w:t>
      </w:r>
    </w:p>
    <w:p w:rsidR="00D76CAC" w:rsidRDefault="00D76CAC" w:rsidP="00D76CAC">
      <w:pPr>
        <w:widowControl/>
        <w:kinsoku/>
        <w:autoSpaceDE w:val="0"/>
        <w:autoSpaceDN w:val="0"/>
        <w:adjustRightInd w:val="0"/>
        <w:sectPr w:rsidR="00D76CAC">
          <w:pgSz w:w="12240" w:h="15840"/>
          <w:pgMar w:top="1190" w:right="1739" w:bottom="1342" w:left="1401" w:header="720" w:footer="720" w:gutter="0"/>
          <w:cols w:space="720"/>
          <w:noEndnote/>
        </w:sectPr>
      </w:pPr>
    </w:p>
    <w:p w:rsidR="00D76CAC" w:rsidRDefault="00D76CAC" w:rsidP="00D76CAC">
      <w:pPr>
        <w:pStyle w:val="Style3"/>
        <w:kinsoku w:val="0"/>
        <w:autoSpaceDE/>
        <w:autoSpaceDN/>
        <w:spacing w:before="0" w:line="261" w:lineRule="exact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lastRenderedPageBreak/>
        <w:t xml:space="preserve">Abreviado. El señor Sánchez Paniagua no se encuentra dentro de la lista de adjudicatarios </w:t>
      </w:r>
      <w:r>
        <w:rPr>
          <w:rStyle w:val="CharacterStyle1"/>
          <w:spacing w:val="-2"/>
          <w:w w:val="105"/>
          <w:lang w:val="es-ES" w:eastAsia="es-ES"/>
        </w:rPr>
        <w:t xml:space="preserve">directos, ni dentro de la de participantes en el proceso aleatorio en la base de operación 00 </w:t>
      </w:r>
      <w:proofErr w:type="spellStart"/>
      <w:r>
        <w:rPr>
          <w:rStyle w:val="CharacterStyle1"/>
          <w:w w:val="105"/>
          <w:lang w:val="es-ES" w:eastAsia="es-ES"/>
        </w:rPr>
        <w:t>00</w:t>
      </w:r>
      <w:proofErr w:type="spellEnd"/>
      <w:r>
        <w:rPr>
          <w:rStyle w:val="CharacterStyle1"/>
          <w:w w:val="105"/>
          <w:lang w:val="es-ES" w:eastAsia="es-ES"/>
        </w:rPr>
        <w:t xml:space="preserve"> </w:t>
      </w:r>
      <w:proofErr w:type="spellStart"/>
      <w:r>
        <w:rPr>
          <w:rStyle w:val="CharacterStyle1"/>
          <w:w w:val="105"/>
          <w:lang w:val="es-ES" w:eastAsia="es-ES"/>
        </w:rPr>
        <w:t>00</w:t>
      </w:r>
      <w:proofErr w:type="spellEnd"/>
      <w:r>
        <w:rPr>
          <w:rStyle w:val="CharacterStyle1"/>
          <w:w w:val="105"/>
          <w:lang w:val="es-ES" w:eastAsia="es-ES"/>
        </w:rPr>
        <w:t>.</w:t>
      </w:r>
    </w:p>
    <w:p w:rsidR="00D76CAC" w:rsidRDefault="00D76CAC" w:rsidP="00D76CAC">
      <w:pPr>
        <w:pStyle w:val="Style3"/>
        <w:kinsoku w:val="0"/>
        <w:autoSpaceDE/>
        <w:autoSpaceDN/>
        <w:spacing w:line="271" w:lineRule="exact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SEXTO: </w:t>
      </w:r>
      <w:r>
        <w:rPr>
          <w:rStyle w:val="CharacterStyle1"/>
          <w:spacing w:val="-5"/>
          <w:w w:val="105"/>
          <w:lang w:val="es-ES" w:eastAsia="es-ES"/>
        </w:rPr>
        <w:t xml:space="preserve">El día 5 de noviembre del 2001, el señor MAPS, en su calidad </w:t>
      </w:r>
      <w:r>
        <w:rPr>
          <w:rStyle w:val="CharacterStyle1"/>
          <w:spacing w:val="-4"/>
          <w:w w:val="105"/>
          <w:lang w:val="es-ES" w:eastAsia="es-ES"/>
        </w:rPr>
        <w:t xml:space="preserve">de apoderado especial del señor DASP, presenta recurso de revocatoria con apelación en subsidio en contra del acto de adjudicación indicado en el </w:t>
      </w:r>
      <w:r>
        <w:rPr>
          <w:rStyle w:val="CharacterStyle1"/>
          <w:w w:val="105"/>
          <w:lang w:val="es-ES" w:eastAsia="es-ES"/>
        </w:rPr>
        <w:t xml:space="preserve">considerando anterior. Indica que por error aportó una copia de la licencia vencida del </w:t>
      </w:r>
      <w:r>
        <w:rPr>
          <w:rStyle w:val="CharacterStyle1"/>
          <w:spacing w:val="-4"/>
          <w:w w:val="105"/>
          <w:lang w:val="es-ES" w:eastAsia="es-ES"/>
        </w:rPr>
        <w:t xml:space="preserve">señor </w:t>
      </w:r>
      <w:proofErr w:type="gramStart"/>
      <w:r>
        <w:rPr>
          <w:rStyle w:val="CharacterStyle1"/>
          <w:spacing w:val="-4"/>
          <w:w w:val="105"/>
          <w:lang w:val="es-ES" w:eastAsia="es-ES"/>
        </w:rPr>
        <w:t>S..</w:t>
      </w:r>
      <w:proofErr w:type="gramEnd"/>
      <w:r>
        <w:rPr>
          <w:rStyle w:val="CharacterStyle1"/>
          <w:spacing w:val="-4"/>
          <w:w w:val="105"/>
          <w:lang w:val="es-ES" w:eastAsia="es-ES"/>
        </w:rPr>
        <w:t xml:space="preserve"> </w:t>
      </w:r>
      <w:proofErr w:type="gramStart"/>
      <w:r>
        <w:rPr>
          <w:rStyle w:val="CharacterStyle1"/>
          <w:spacing w:val="-4"/>
          <w:w w:val="105"/>
          <w:lang w:val="es-ES" w:eastAsia="es-ES"/>
        </w:rPr>
        <w:t>y</w:t>
      </w:r>
      <w:proofErr w:type="gramEnd"/>
      <w:r>
        <w:rPr>
          <w:rStyle w:val="CharacterStyle1"/>
          <w:spacing w:val="-4"/>
          <w:w w:val="105"/>
          <w:lang w:val="es-ES" w:eastAsia="es-ES"/>
        </w:rPr>
        <w:t xml:space="preserve"> que por encontrarse éste último fuera del país, se le extienda un permiso de 3 meses a partir de ese día para que el señor Sánchez regrese al país y pueda presentar la </w:t>
      </w:r>
      <w:r>
        <w:rPr>
          <w:rStyle w:val="CharacterStyle1"/>
          <w:w w:val="105"/>
          <w:lang w:val="es-ES" w:eastAsia="es-ES"/>
        </w:rPr>
        <w:t>licencia.</w:t>
      </w:r>
    </w:p>
    <w:p w:rsidR="00D76CAC" w:rsidRDefault="00D76CAC" w:rsidP="00D76CAC">
      <w:pPr>
        <w:pStyle w:val="Style3"/>
        <w:kinsoku w:val="0"/>
        <w:autoSpaceDE/>
        <w:autoSpaceDN/>
        <w:spacing w:line="271" w:lineRule="exact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7"/>
          <w:w w:val="105"/>
          <w:lang w:val="es-ES" w:eastAsia="es-ES"/>
        </w:rPr>
        <w:t xml:space="preserve">SETIMO: </w:t>
      </w:r>
      <w:r>
        <w:rPr>
          <w:rStyle w:val="CharacterStyle1"/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3"/>
          <w:w w:val="105"/>
          <w:lang w:val="es-ES" w:eastAsia="es-ES"/>
        </w:rPr>
        <w:t xml:space="preserve">020545, donde rechaza la revocatoria planteada por el recurrente contra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2"/>
          <w:w w:val="105"/>
          <w:lang w:val="es-ES" w:eastAsia="es-ES"/>
        </w:rPr>
        <w:t xml:space="preserve">octubre del 2001. Rechazo al recurso de revocatoria efectuado mediante el Artículo 17 de </w:t>
      </w:r>
      <w:r>
        <w:rPr>
          <w:rStyle w:val="CharacterStyle1"/>
          <w:spacing w:val="-4"/>
          <w:w w:val="105"/>
          <w:lang w:val="es-ES" w:eastAsia="es-ES"/>
        </w:rPr>
        <w:t xml:space="preserve">la Sesión Ordinaria N° 7- 2002 de fecha 25 de enero del 2002 y en resumen los argumentos </w:t>
      </w:r>
      <w:r>
        <w:rPr>
          <w:rStyle w:val="CharacterStyle1"/>
          <w:w w:val="105"/>
          <w:lang w:val="es-ES" w:eastAsia="es-ES"/>
        </w:rPr>
        <w:t>de cita:</w:t>
      </w:r>
    </w:p>
    <w:p w:rsidR="00D76CAC" w:rsidRDefault="00D76CAC" w:rsidP="00D76CAC">
      <w:pPr>
        <w:pStyle w:val="Style1"/>
        <w:kinsoku w:val="0"/>
        <w:autoSpaceDE/>
        <w:autoSpaceDN/>
        <w:adjustRightInd/>
        <w:spacing w:before="216" w:line="272" w:lineRule="exact"/>
        <w:ind w:left="72" w:right="72"/>
        <w:jc w:val="both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"1.- Acoger la recomendación de Asuntos Jurídicos y de conformidad con los artículos 11 en relación al 22 de la Ley de Taxis, No. 7969, transitorio IX de la Ley 7969, Decreto </w:t>
      </w:r>
      <w:r>
        <w:rPr>
          <w:i/>
          <w:iCs/>
          <w:spacing w:val="4"/>
          <w:w w:val="105"/>
          <w:lang w:val="es-ES" w:eastAsia="es-ES"/>
        </w:rPr>
        <w:t xml:space="preserve">Ejecutivo 28913-MOPT la Ley General de la Administración Pública y la Ley de </w:t>
      </w:r>
      <w:r>
        <w:rPr>
          <w:i/>
          <w:iCs/>
          <w:spacing w:val="-3"/>
          <w:w w:val="105"/>
          <w:lang w:val="es-ES" w:eastAsia="es-ES"/>
        </w:rPr>
        <w:t>Contratación Administrativa, se rechaza el recurso de revocatoria, presentado por los oferentes que infra se detallan, contra el acto de adjudicación publicado en el Alcance 75</w:t>
      </w:r>
      <w:r>
        <w:rPr>
          <w:i/>
          <w:iCs/>
          <w:spacing w:val="-3"/>
          <w:w w:val="105"/>
          <w:lang w:val="es-ES" w:eastAsia="es-ES"/>
        </w:rPr>
        <w:softHyphen/>
      </w:r>
      <w:r>
        <w:rPr>
          <w:i/>
          <w:iCs/>
          <w:spacing w:val="-1"/>
          <w:w w:val="105"/>
          <w:lang w:val="es-ES" w:eastAsia="es-ES"/>
        </w:rPr>
        <w:t xml:space="preserve">A a La Gaceta 207 del 29 de octubre del 2001, por cuanto se ha determinado que a la </w:t>
      </w:r>
      <w:r>
        <w:rPr>
          <w:i/>
          <w:iCs/>
          <w:spacing w:val="-4"/>
          <w:w w:val="105"/>
          <w:lang w:val="es-ES" w:eastAsia="es-ES"/>
        </w:rPr>
        <w:t xml:space="preserve">fecha de presentación de las ofertas y cierre de recepción de ofertas, los recurrentes no </w:t>
      </w:r>
      <w:r>
        <w:rPr>
          <w:i/>
          <w:iCs/>
          <w:spacing w:val="-5"/>
          <w:w w:val="105"/>
          <w:lang w:val="es-ES" w:eastAsia="es-ES"/>
        </w:rPr>
        <w:t xml:space="preserve">contaban con la licencia C-1 vigente, elemento que conforme a las disposiciones de la Ley </w:t>
      </w:r>
      <w:r>
        <w:rPr>
          <w:i/>
          <w:iCs/>
          <w:spacing w:val="-6"/>
          <w:w w:val="105"/>
          <w:lang w:val="es-ES" w:eastAsia="es-ES"/>
        </w:rPr>
        <w:t xml:space="preserve">7969 y Decreto Ejecutivo 28913-MOPT, tiene un valor asignado del 40% ... Miguel Ángel </w:t>
      </w:r>
      <w:r>
        <w:rPr>
          <w:i/>
          <w:iCs/>
          <w:spacing w:val="-2"/>
          <w:w w:val="105"/>
          <w:lang w:val="es-ES" w:eastAsia="es-ES"/>
        </w:rPr>
        <w:t>Porras Solís 5-231-621."</w:t>
      </w:r>
    </w:p>
    <w:p w:rsidR="00D76CAC" w:rsidRDefault="00D76CAC" w:rsidP="00D76CAC">
      <w:pPr>
        <w:pStyle w:val="Style1"/>
        <w:kinsoku w:val="0"/>
        <w:autoSpaceDE/>
        <w:autoSpaceDN/>
        <w:adjustRightInd/>
        <w:spacing w:before="216" w:line="420" w:lineRule="exact"/>
        <w:ind w:left="72" w:right="360"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OCTAVO: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4"/>
          <w:w w:val="105"/>
          <w:lang w:val="es-ES" w:eastAsia="es-ES"/>
        </w:rPr>
        <w:t xml:space="preserve">Redacta la Jueza Pérez Peláez; </w:t>
      </w:r>
      <w:r>
        <w:rPr>
          <w:spacing w:val="-4"/>
          <w:w w:val="105"/>
          <w:lang w:val="es-ES" w:eastAsia="es-ES"/>
        </w:rPr>
        <w:t>y,</w:t>
      </w:r>
    </w:p>
    <w:p w:rsidR="00D76CAC" w:rsidRDefault="00D76CAC" w:rsidP="00D76CAC">
      <w:pPr>
        <w:pStyle w:val="Style1"/>
        <w:kinsoku w:val="0"/>
        <w:autoSpaceDE/>
        <w:autoSpaceDN/>
        <w:adjustRightInd/>
        <w:spacing w:before="216" w:line="235" w:lineRule="exact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D76CAC" w:rsidRDefault="00D76CAC" w:rsidP="00D76CAC">
      <w:pPr>
        <w:pStyle w:val="Style1"/>
        <w:kinsoku w:val="0"/>
        <w:autoSpaceDE/>
        <w:autoSpaceDN/>
        <w:adjustRightInd/>
        <w:spacing w:before="216" w:line="274" w:lineRule="exact"/>
        <w:ind w:left="72" w:right="72" w:firstLine="72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PRIMERO: SOBRE LA COMPETENCIA: </w:t>
      </w:r>
      <w:r>
        <w:rPr>
          <w:spacing w:val="-2"/>
          <w:w w:val="105"/>
          <w:lang w:val="es-ES" w:eastAsia="es-ES"/>
        </w:rPr>
        <w:t xml:space="preserve">De conformidad con el artículo 22 de la </w:t>
      </w:r>
      <w:r>
        <w:rPr>
          <w:spacing w:val="-4"/>
          <w:w w:val="105"/>
          <w:lang w:val="es-ES" w:eastAsia="es-ES"/>
        </w:rPr>
        <w:t xml:space="preserve">Ley Reguladora del Servicio Público de Transporte Remunerado de Personas en Vehículos en la Modalidad de Taxi, No. 7969 del 22 de diciembre de 1999, en relación con el artículo </w:t>
      </w:r>
      <w:r>
        <w:rPr>
          <w:spacing w:val="-2"/>
          <w:w w:val="105"/>
          <w:lang w:val="es-ES" w:eastAsia="es-ES"/>
        </w:rPr>
        <w:t xml:space="preserve">15 del Decreto No. 28913-MOPT denominado "Reglamento del primer procedimiento </w:t>
      </w:r>
      <w:r>
        <w:rPr>
          <w:spacing w:val="-4"/>
          <w:w w:val="105"/>
          <w:lang w:val="es-ES" w:eastAsia="es-ES"/>
        </w:rPr>
        <w:t xml:space="preserve">especial abreviado para el transporte remunerado de personas en vehículos en la modalidad </w:t>
      </w:r>
      <w:r>
        <w:rPr>
          <w:spacing w:val="-2"/>
          <w:w w:val="105"/>
          <w:lang w:val="es-ES" w:eastAsia="es-ES"/>
        </w:rPr>
        <w:t xml:space="preserve">de taxi" y sus reformas; así como la resolución de la Contraloría General de la República </w:t>
      </w:r>
      <w:r>
        <w:rPr>
          <w:spacing w:val="-4"/>
          <w:w w:val="105"/>
          <w:lang w:val="es-ES" w:eastAsia="es-ES"/>
        </w:rPr>
        <w:t xml:space="preserve">No. RC-694-2001 de las nueve horas con cuarenta y cinco minutos del trece de noviembre </w:t>
      </w:r>
      <w:r>
        <w:rPr>
          <w:spacing w:val="1"/>
          <w:w w:val="105"/>
          <w:lang w:val="es-ES" w:eastAsia="es-ES"/>
        </w:rPr>
        <w:t xml:space="preserve">del 2001, el Tribunal Administrativo de Transporte es el competente para conocer </w:t>
      </w:r>
      <w:r>
        <w:rPr>
          <w:i/>
          <w:iCs/>
          <w:spacing w:val="1"/>
          <w:w w:val="105"/>
          <w:lang w:val="es-ES" w:eastAsia="es-ES"/>
        </w:rPr>
        <w:t xml:space="preserve">y </w:t>
      </w:r>
      <w:r>
        <w:rPr>
          <w:spacing w:val="-4"/>
          <w:w w:val="105"/>
          <w:lang w:val="es-ES" w:eastAsia="es-ES"/>
        </w:rPr>
        <w:t>resolver el presente recurso de apelación.</w:t>
      </w:r>
    </w:p>
    <w:p w:rsidR="00D76CAC" w:rsidRDefault="00D76CAC" w:rsidP="00D76CAC">
      <w:pPr>
        <w:widowControl/>
        <w:kinsoku/>
        <w:autoSpaceDE w:val="0"/>
        <w:autoSpaceDN w:val="0"/>
        <w:adjustRightInd w:val="0"/>
        <w:sectPr w:rsidR="00D76CAC">
          <w:pgSz w:w="12240" w:h="15840"/>
          <w:pgMar w:top="1420" w:right="1540" w:bottom="1390" w:left="1600" w:header="720" w:footer="720" w:gutter="0"/>
          <w:cols w:space="720"/>
          <w:noEndnote/>
        </w:sectPr>
      </w:pPr>
    </w:p>
    <w:p w:rsidR="00D76CAC" w:rsidRDefault="00D76CAC" w:rsidP="00D76CAC">
      <w:pPr>
        <w:pStyle w:val="Style4"/>
        <w:kinsoku w:val="0"/>
        <w:autoSpaceDE/>
        <w:autoSpaceDN/>
        <w:adjustRightInd/>
        <w:spacing w:line="228" w:lineRule="exact"/>
        <w:jc w:val="right"/>
        <w:rPr>
          <w:rStyle w:val="CharacterStyle4"/>
          <w:b/>
          <w:bCs/>
          <w:spacing w:val="18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rFonts w:ascii="Garamond" w:hAnsi="Garamond" w:cs="Garamond"/>
          <w:b/>
          <w:bCs/>
          <w:spacing w:val="18"/>
          <w:sz w:val="22"/>
          <w:szCs w:val="22"/>
          <w:lang w:val="es-ES" w:eastAsia="es-ES"/>
        </w:rPr>
        <w:lastRenderedPageBreak/>
        <w:t xml:space="preserve">SEGUNDO.- SOBRE LA ADMISIBILIDAD DEL RECURSO: </w:t>
      </w:r>
      <w:r>
        <w:rPr>
          <w:rStyle w:val="CharacterStyle4"/>
          <w:b/>
          <w:bCs/>
          <w:spacing w:val="18"/>
          <w:w w:val="105"/>
          <w:sz w:val="24"/>
          <w:szCs w:val="24"/>
          <w:u w:val="single"/>
          <w:lang w:val="es-ES" w:eastAsia="es-ES"/>
        </w:rPr>
        <w:t>En cuanto a la</w:t>
      </w:r>
    </w:p>
    <w:p w:rsidR="00D76CAC" w:rsidRDefault="00D76CAC" w:rsidP="00D76CAC">
      <w:pPr>
        <w:pStyle w:val="Style4"/>
        <w:kinsoku w:val="0"/>
        <w:autoSpaceDE/>
        <w:autoSpaceDN/>
        <w:adjustRightInd/>
        <w:ind w:right="72"/>
        <w:jc w:val="right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u w:val="single"/>
          <w:lang w:val="es-ES" w:eastAsia="es-ES"/>
        </w:rPr>
        <w:t>Legitimación: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El Recurso de Revocatoria con Apelación en Subsidio es planteado a favor</w:t>
      </w:r>
    </w:p>
    <w:p w:rsidR="00D76CAC" w:rsidRDefault="00D76CAC" w:rsidP="00D76CAC">
      <w:pPr>
        <w:pStyle w:val="Style4"/>
        <w:kinsoku w:val="0"/>
        <w:autoSpaceDE/>
        <w:autoSpaceDN/>
        <w:adjustRightInd/>
        <w:spacing w:line="264" w:lineRule="exact"/>
        <w:ind w:right="72"/>
        <w:jc w:val="both"/>
        <w:rPr>
          <w:rStyle w:val="CharacterStyle4"/>
          <w:spacing w:val="3"/>
          <w:w w:val="105"/>
          <w:sz w:val="24"/>
          <w:szCs w:val="24"/>
          <w:lang w:val="es-ES" w:eastAsia="es-ES"/>
        </w:rPr>
      </w:pPr>
      <w:proofErr w:type="gramStart"/>
      <w:r w:rsidRPr="00DB403A">
        <w:rPr>
          <w:rStyle w:val="CharacterStyle4"/>
          <w:spacing w:val="7"/>
          <w:w w:val="105"/>
          <w:sz w:val="24"/>
          <w:szCs w:val="24"/>
          <w:lang w:val="es-ES" w:eastAsia="es-ES"/>
        </w:rPr>
        <w:t>del</w:t>
      </w:r>
      <w:proofErr w:type="gramEnd"/>
      <w:r w:rsidRPr="00DB403A"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 señor </w:t>
      </w:r>
      <w:r>
        <w:rPr>
          <w:rStyle w:val="CharacterStyle4"/>
          <w:rFonts w:ascii="Garamond" w:hAnsi="Garamond" w:cs="Garamond"/>
          <w:b/>
          <w:bCs/>
          <w:spacing w:val="7"/>
          <w:sz w:val="24"/>
          <w:szCs w:val="24"/>
          <w:lang w:val="es-ES" w:eastAsia="es-ES"/>
        </w:rPr>
        <w:t>SPDA</w:t>
      </w:r>
      <w:r w:rsidRPr="00DB403A">
        <w:rPr>
          <w:rStyle w:val="CharacterStyle4"/>
          <w:rFonts w:ascii="Garamond" w:hAnsi="Garamond" w:cs="Garamond"/>
          <w:b/>
          <w:bCs/>
          <w:spacing w:val="7"/>
          <w:sz w:val="24"/>
          <w:szCs w:val="24"/>
          <w:lang w:val="es-ES" w:eastAsia="es-ES"/>
        </w:rPr>
        <w:t xml:space="preserve"> , por el señor MA</w:t>
      </w:r>
      <w:r>
        <w:rPr>
          <w:rStyle w:val="CharacterStyle4"/>
          <w:rFonts w:ascii="Garamond" w:hAnsi="Garamond" w:cs="Garamond"/>
          <w:b/>
          <w:bCs/>
          <w:spacing w:val="7"/>
          <w:sz w:val="24"/>
          <w:szCs w:val="24"/>
          <w:lang w:val="es-ES" w:eastAsia="es-ES"/>
        </w:rPr>
        <w:t>PS</w:t>
      </w:r>
      <w:r w:rsidRPr="00DB403A">
        <w:rPr>
          <w:rStyle w:val="CharacterStyle4"/>
          <w:rFonts w:ascii="Garamond" w:hAnsi="Garamond" w:cs="Garamond"/>
          <w:b/>
          <w:bCs/>
          <w:spacing w:val="7"/>
          <w:sz w:val="24"/>
          <w:szCs w:val="24"/>
          <w:lang w:val="es-ES" w:eastAsia="es-ES"/>
        </w:rPr>
        <w:t>,</w:t>
      </w:r>
      <w:r>
        <w:rPr>
          <w:rStyle w:val="CharacterStyle4"/>
          <w:rFonts w:ascii="Garamond" w:hAnsi="Garamond" w:cs="Garamond"/>
          <w:b/>
          <w:bCs/>
          <w:spacing w:val="7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11"/>
          <w:w w:val="105"/>
          <w:sz w:val="24"/>
          <w:szCs w:val="24"/>
          <w:lang w:val="es-ES" w:eastAsia="es-ES"/>
        </w:rPr>
        <w:t>sin embargo no acredita al expediente el Poder correspondiente que permita tal</w:t>
      </w:r>
      <w:r>
        <w:rPr>
          <w:rStyle w:val="CharacterStyle4"/>
          <w:spacing w:val="11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>representación. Visible a folio 22 del expediente administrativo únicamente se puede</w:t>
      </w:r>
    </w:p>
    <w:p w:rsidR="00D76CAC" w:rsidRDefault="00D76CAC" w:rsidP="00D76CAC">
      <w:pPr>
        <w:pStyle w:val="Style4"/>
        <w:kinsoku w:val="0"/>
        <w:autoSpaceDE/>
        <w:autoSpaceDN/>
        <w:adjustRightInd/>
        <w:spacing w:before="36" w:line="243" w:lineRule="exact"/>
        <w:jc w:val="center"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observar</w:t>
      </w:r>
      <w:proofErr w:type="gramEnd"/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 una fotocopia de un testimonio de un </w:t>
      </w:r>
      <w:r>
        <w:rPr>
          <w:rStyle w:val="CharacterStyle4"/>
          <w:rFonts w:ascii="Garamond" w:hAnsi="Garamond" w:cs="Garamond"/>
          <w:b/>
          <w:bCs/>
          <w:spacing w:val="2"/>
          <w:sz w:val="22"/>
          <w:szCs w:val="22"/>
          <w:lang w:val="es-ES" w:eastAsia="es-ES"/>
        </w:rPr>
        <w:t xml:space="preserve">PODER ESPECIAL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que otorga el señor</w:t>
      </w:r>
    </w:p>
    <w:p w:rsidR="00D76CAC" w:rsidRDefault="00D76CAC" w:rsidP="00D76CAC">
      <w:pPr>
        <w:pStyle w:val="Style5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DSP al señor MAPS, en los </w:t>
      </w:r>
      <w:r>
        <w:rPr>
          <w:spacing w:val="2"/>
          <w:w w:val="105"/>
          <w:lang w:val="es-ES" w:eastAsia="es-ES"/>
        </w:rPr>
        <w:t xml:space="preserve">siguientes términos: para que en su nombre y representación proceda a realizar todo </w:t>
      </w:r>
      <w:r>
        <w:rPr>
          <w:w w:val="105"/>
          <w:lang w:val="es-ES" w:eastAsia="es-ES"/>
        </w:rPr>
        <w:t xml:space="preserve">tipo de gestiones, incluso el retirar dineros y firmar todo tipo de documentos que se </w:t>
      </w:r>
      <w:r>
        <w:rPr>
          <w:spacing w:val="-2"/>
          <w:w w:val="105"/>
          <w:lang w:val="es-ES" w:eastAsia="es-ES"/>
        </w:rPr>
        <w:t xml:space="preserve">presenten a instituciones públicas o privadas, al Ministerio de Haciendas, Ministerio de </w:t>
      </w:r>
      <w:r>
        <w:rPr>
          <w:spacing w:val="-4"/>
          <w:w w:val="105"/>
          <w:lang w:val="es-ES" w:eastAsia="es-ES"/>
        </w:rPr>
        <w:t xml:space="preserve">Obras Públicas y Transportes, Instituto Nacional de Seguros y el Registro Público de la </w:t>
      </w:r>
      <w:r>
        <w:rPr>
          <w:w w:val="105"/>
          <w:lang w:val="es-ES" w:eastAsia="es-ES"/>
        </w:rPr>
        <w:t>Propiedad Mueble, concerniente a la placa de servicio público: SJP-…</w:t>
      </w:r>
      <w:r>
        <w:rPr>
          <w:spacing w:val="-1"/>
          <w:w w:val="105"/>
          <w:lang w:val="es-ES" w:eastAsia="es-ES"/>
        </w:rPr>
        <w:t xml:space="preserve">". No obstante dicho poder se refiere únicamente a los efectos relacionados con la </w:t>
      </w:r>
      <w:r>
        <w:rPr>
          <w:spacing w:val="-3"/>
          <w:w w:val="105"/>
          <w:lang w:val="es-ES" w:eastAsia="es-ES"/>
        </w:rPr>
        <w:t xml:space="preserve">placa </w:t>
      </w:r>
      <w:proofErr w:type="gramStart"/>
      <w:r>
        <w:rPr>
          <w:spacing w:val="-3"/>
          <w:w w:val="105"/>
          <w:lang w:val="es-ES" w:eastAsia="es-ES"/>
        </w:rPr>
        <w:t>SJP …</w:t>
      </w:r>
      <w:proofErr w:type="gramEnd"/>
      <w:r>
        <w:rPr>
          <w:spacing w:val="-3"/>
          <w:w w:val="105"/>
          <w:lang w:val="es-ES" w:eastAsia="es-ES"/>
        </w:rPr>
        <w:t xml:space="preserve">.y no así en referencia a la calidad de oferente del señor Porras dentro del concurso del Primer Procedimiento Especial Abreviado, por lo que se debe declarar que </w:t>
      </w:r>
      <w:r>
        <w:rPr>
          <w:spacing w:val="-4"/>
          <w:w w:val="105"/>
          <w:lang w:val="es-ES" w:eastAsia="es-ES"/>
        </w:rPr>
        <w:t>carece de legitimación para la presentación del recurso venido en alzada.</w:t>
      </w:r>
    </w:p>
    <w:p w:rsidR="00D76CAC" w:rsidRDefault="00D76CAC" w:rsidP="00D76CAC">
      <w:pPr>
        <w:pStyle w:val="Style5"/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rFonts w:ascii="Garamond" w:hAnsi="Garamond" w:cs="Garamond"/>
          <w:b/>
          <w:bCs/>
          <w:sz w:val="22"/>
          <w:szCs w:val="22"/>
          <w:lang w:val="es-ES" w:eastAsia="es-ES"/>
        </w:rPr>
        <w:t xml:space="preserve">TERCERO: </w:t>
      </w:r>
      <w:r>
        <w:rPr>
          <w:w w:val="105"/>
          <w:lang w:val="es-ES" w:eastAsia="es-ES"/>
        </w:rPr>
        <w:t xml:space="preserve">El poder aportado no es suficiente para la adecuada representación en el </w:t>
      </w:r>
      <w:r>
        <w:rPr>
          <w:spacing w:val="6"/>
          <w:w w:val="105"/>
          <w:lang w:val="es-ES" w:eastAsia="es-ES"/>
        </w:rPr>
        <w:t xml:space="preserve">presente procedimiento concursal. El Procedimiento Especial Abreviado para el </w:t>
      </w:r>
      <w:r>
        <w:rPr>
          <w:spacing w:val="-3"/>
          <w:w w:val="105"/>
          <w:lang w:val="es-ES" w:eastAsia="es-ES"/>
        </w:rPr>
        <w:t xml:space="preserve">otorgamiento de una concesión de un servicio público para la prestación del transporte </w:t>
      </w:r>
      <w:r>
        <w:rPr>
          <w:spacing w:val="1"/>
          <w:w w:val="105"/>
          <w:lang w:val="es-ES" w:eastAsia="es-ES"/>
        </w:rPr>
        <w:t xml:space="preserve">remunerado de personas en la modalidad de taxi no concierne a las gestiones que se </w:t>
      </w:r>
      <w:r>
        <w:rPr>
          <w:w w:val="105"/>
          <w:lang w:val="es-ES" w:eastAsia="es-ES"/>
        </w:rPr>
        <w:t xml:space="preserve">puedan presentar respecto de la placa de servicio público SJP-…. Es decir el Poder </w:t>
      </w:r>
      <w:r>
        <w:rPr>
          <w:spacing w:val="-1"/>
          <w:w w:val="105"/>
          <w:lang w:val="es-ES" w:eastAsia="es-ES"/>
        </w:rPr>
        <w:t xml:space="preserve">Especial que se requería, conforme al ordenamiento jurídico, debía señalar de manera </w:t>
      </w:r>
      <w:r>
        <w:rPr>
          <w:spacing w:val="5"/>
          <w:w w:val="105"/>
          <w:lang w:val="es-ES" w:eastAsia="es-ES"/>
        </w:rPr>
        <w:t xml:space="preserve">concreta y específica la autorización para presentar los Recursos Ordinarios que </w:t>
      </w:r>
      <w:r>
        <w:rPr>
          <w:spacing w:val="-4"/>
          <w:w w:val="105"/>
          <w:lang w:val="es-ES" w:eastAsia="es-ES"/>
        </w:rPr>
        <w:t xml:space="preserve">procedieren. Para ello, el oferente debió otorgar un poder, no como titular de la placa de </w:t>
      </w:r>
      <w:r>
        <w:rPr>
          <w:spacing w:val="-3"/>
          <w:w w:val="105"/>
          <w:lang w:val="es-ES" w:eastAsia="es-ES"/>
        </w:rPr>
        <w:t>servicio, sino en su calidad de participante dentro del presente proceso, con indicación específica de que podía interponer los recursos de revocatoria y apelación.</w:t>
      </w:r>
    </w:p>
    <w:p w:rsidR="00D76CAC" w:rsidRDefault="00D76CAC" w:rsidP="00D76CAC">
      <w:pPr>
        <w:pStyle w:val="Style5"/>
        <w:kinsoku w:val="0"/>
        <w:autoSpaceDE/>
        <w:autoSpaceDN/>
        <w:rPr>
          <w:i/>
          <w:iCs/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Debe recordarse que el poder especial, tiene como característica principal, que debe ser </w:t>
      </w:r>
      <w:r>
        <w:rPr>
          <w:spacing w:val="-2"/>
          <w:w w:val="105"/>
          <w:lang w:val="es-ES" w:eastAsia="es-ES"/>
        </w:rPr>
        <w:t xml:space="preserve">específico e indicar con claridad los actos a los que se autoriza al apoderado. Así lo indica </w:t>
      </w:r>
      <w:r>
        <w:rPr>
          <w:w w:val="105"/>
          <w:lang w:val="es-ES" w:eastAsia="es-ES"/>
        </w:rPr>
        <w:t xml:space="preserve">el artículo 1256 del Código Civil: </w:t>
      </w:r>
      <w:r>
        <w:rPr>
          <w:i/>
          <w:iCs/>
          <w:w w:val="105"/>
          <w:lang w:val="es-ES" w:eastAsia="es-ES"/>
        </w:rPr>
        <w:t xml:space="preserve">"El poder especial para determinado acto jurídico </w:t>
      </w:r>
      <w:r>
        <w:rPr>
          <w:i/>
          <w:iCs/>
          <w:spacing w:val="-4"/>
          <w:w w:val="105"/>
          <w:lang w:val="es-ES" w:eastAsia="es-ES"/>
        </w:rPr>
        <w:t xml:space="preserve">judicial y extrajudicial, solo facultará al mandatario para los actos especificados en el mandato, sin poder extenderse ni siquiera a los que se consideren consecuencia natural de </w:t>
      </w:r>
      <w:r>
        <w:rPr>
          <w:i/>
          <w:iCs/>
          <w:spacing w:val="-3"/>
          <w:w w:val="105"/>
          <w:lang w:val="es-ES" w:eastAsia="es-ES"/>
        </w:rPr>
        <w:t>los que el apoderado esté encargado de ejecutar."</w:t>
      </w:r>
    </w:p>
    <w:p w:rsidR="00D76CAC" w:rsidRDefault="00D76CAC" w:rsidP="00D76CAC">
      <w:pPr>
        <w:pStyle w:val="Style5"/>
        <w:kinsoku w:val="0"/>
        <w:autoSpaceDE/>
        <w:autoSpaceDN/>
        <w:spacing w:before="180" w:line="194" w:lineRule="auto"/>
        <w:rPr>
          <w:spacing w:val="-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De igual forma, el artículo 85 de la Ley De Contratación Administrativa, para definir la </w:t>
      </w:r>
      <w:r>
        <w:rPr>
          <w:spacing w:val="-6"/>
          <w:w w:val="105"/>
          <w:lang w:val="es-ES" w:eastAsia="es-ES"/>
        </w:rPr>
        <w:t xml:space="preserve">legitimación para el recurso de apelación establece: </w:t>
      </w:r>
      <w:r>
        <w:rPr>
          <w:i/>
          <w:iCs/>
          <w:spacing w:val="-6"/>
          <w:w w:val="105"/>
          <w:lang w:val="es-ES" w:eastAsia="es-ES"/>
        </w:rPr>
        <w:t xml:space="preserve">"Toda persona que ostente un interés </w:t>
      </w:r>
      <w:r>
        <w:rPr>
          <w:i/>
          <w:iCs/>
          <w:spacing w:val="-3"/>
          <w:w w:val="105"/>
          <w:lang w:val="es-ES" w:eastAsia="es-ES"/>
        </w:rPr>
        <w:t xml:space="preserve">legítimo, actual, propio y directo podrá interponer un recurso de apelación. Igualmente, </w:t>
      </w:r>
      <w:r>
        <w:rPr>
          <w:i/>
          <w:iCs/>
          <w:spacing w:val="-7"/>
          <w:w w:val="105"/>
          <w:lang w:val="es-ES" w:eastAsia="es-ES"/>
        </w:rPr>
        <w:t xml:space="preserve">estará legitimado para recurrir quien haya presentado oferta en nombre de un tercero, </w:t>
      </w:r>
      <w:r>
        <w:rPr>
          <w:rFonts w:ascii="Garamond" w:hAnsi="Garamond" w:cs="Garamond"/>
          <w:b/>
          <w:bCs/>
          <w:spacing w:val="-7"/>
          <w:sz w:val="22"/>
          <w:szCs w:val="22"/>
          <w:lang w:val="es-ES" w:eastAsia="es-ES"/>
        </w:rPr>
        <w:t xml:space="preserve">que </w:t>
      </w:r>
      <w:r>
        <w:rPr>
          <w:b/>
          <w:bCs/>
          <w:i/>
          <w:iCs/>
          <w:spacing w:val="-2"/>
          <w:w w:val="105"/>
          <w:sz w:val="23"/>
          <w:szCs w:val="23"/>
          <w:u w:val="single"/>
          <w:lang w:val="es-ES" w:eastAsia="es-ES"/>
        </w:rPr>
        <w:t xml:space="preserve">ostente cualquier tipo de representación". </w:t>
      </w:r>
      <w:r>
        <w:rPr>
          <w:spacing w:val="-2"/>
          <w:w w:val="105"/>
          <w:lang w:val="es-ES" w:eastAsia="es-ES"/>
        </w:rPr>
        <w:t xml:space="preserve"> (</w:t>
      </w:r>
      <w:proofErr w:type="gramStart"/>
      <w:r>
        <w:rPr>
          <w:spacing w:val="-2"/>
          <w:w w:val="105"/>
          <w:lang w:val="es-ES" w:eastAsia="es-ES"/>
        </w:rPr>
        <w:t>lo</w:t>
      </w:r>
      <w:proofErr w:type="gramEnd"/>
      <w:r>
        <w:rPr>
          <w:spacing w:val="-2"/>
          <w:w w:val="105"/>
          <w:lang w:val="es-ES" w:eastAsia="es-ES"/>
        </w:rPr>
        <w:t xml:space="preserve"> resaltado no es del original)</w:t>
      </w:r>
    </w:p>
    <w:p w:rsidR="00D76CAC" w:rsidRDefault="00D76CAC" w:rsidP="00D76CAC">
      <w:pPr>
        <w:pStyle w:val="Style5"/>
        <w:kinsoku w:val="0"/>
        <w:autoSpaceDE/>
        <w:autoSpaceDN/>
        <w:jc w:val="left"/>
        <w:rPr>
          <w:i/>
          <w:iCs/>
          <w:spacing w:val="-1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Al respecto la Contraloría General de la República, mediante oficio número R-DAGJ-069- </w:t>
      </w:r>
      <w:r>
        <w:rPr>
          <w:spacing w:val="-5"/>
          <w:w w:val="105"/>
          <w:lang w:val="es-ES" w:eastAsia="es-ES"/>
        </w:rPr>
        <w:t xml:space="preserve">99 de las 15:00 horas del 3 de noviembre de 1999, señaló sobre los poderes especiales lo </w:t>
      </w:r>
      <w:r>
        <w:rPr>
          <w:w w:val="105"/>
          <w:lang w:val="es-ES" w:eastAsia="es-ES"/>
        </w:rPr>
        <w:t xml:space="preserve">siguiente: </w:t>
      </w:r>
      <w:r>
        <w:rPr>
          <w:i/>
          <w:iCs/>
          <w:w w:val="105"/>
          <w:lang w:val="es-ES" w:eastAsia="es-ES"/>
        </w:rPr>
        <w:t xml:space="preserve">"Pero en los tres casos, otorgándolo para "(...) todos los actos, contratos, </w:t>
      </w:r>
      <w:r>
        <w:rPr>
          <w:i/>
          <w:iCs/>
          <w:spacing w:val="-2"/>
          <w:w w:val="105"/>
          <w:lang w:val="es-ES" w:eastAsia="es-ES"/>
        </w:rPr>
        <w:t xml:space="preserve">acuerdos o convenciones" relacionadas con la Licitación Pública Internacional 01-98. </w:t>
      </w:r>
      <w:r>
        <w:rPr>
          <w:i/>
          <w:iCs/>
          <w:spacing w:val="-1"/>
          <w:w w:val="105"/>
          <w:lang w:val="es-ES" w:eastAsia="es-ES"/>
        </w:rPr>
        <w:t>Dichos textos, a nuestro juicio, no cumplen con la especificidad exigida por el artículo 1256 del Código poder al que no aplica el requisito de constar en escritura</w:t>
      </w:r>
    </w:p>
    <w:p w:rsidR="00D76CAC" w:rsidRDefault="00D76CAC" w:rsidP="00D76CAC">
      <w:pPr>
        <w:widowControl/>
        <w:kinsoku/>
        <w:autoSpaceDE w:val="0"/>
        <w:autoSpaceDN w:val="0"/>
        <w:adjustRightInd w:val="0"/>
        <w:jc w:val="both"/>
        <w:sectPr w:rsidR="00D76CAC">
          <w:pgSz w:w="12240" w:h="15840"/>
          <w:pgMar w:top="1460" w:right="1218" w:bottom="1090" w:left="1922" w:header="720" w:footer="720" w:gutter="0"/>
          <w:cols w:space="720"/>
          <w:noEndnote/>
        </w:sectPr>
      </w:pPr>
    </w:p>
    <w:p w:rsidR="00D76CAC" w:rsidRDefault="00D76CAC" w:rsidP="00D76CAC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0pt;margin-top:678.7pt;width:45.75pt;height:15.6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76CAC" w:rsidRDefault="00D76CAC" w:rsidP="00D76CAC">
                  <w:pPr>
                    <w:pStyle w:val="Style4"/>
                    <w:kinsoku w:val="0"/>
                    <w:autoSpaceDE/>
                    <w:autoSpaceDN/>
                    <w:adjustRightInd/>
                    <w:spacing w:after="36"/>
                    <w:jc w:val="right"/>
                    <w:rPr>
                      <w:rStyle w:val="CharacterStyle4"/>
                      <w:spacing w:val="-6"/>
                      <w:sz w:val="23"/>
                      <w:szCs w:val="23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133.4pt;margin-top:681.35pt;width:16.8pt;height:9.1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76CAC" w:rsidRPr="00DB403A" w:rsidRDefault="00D76CAC" w:rsidP="00D76CAC">
                  <w:pPr>
                    <w:rPr>
                      <w:rStyle w:val="CharacterStyle4"/>
                      <w:sz w:val="24"/>
                      <w:szCs w:val="15"/>
                    </w:rPr>
                  </w:pPr>
                </w:p>
              </w:txbxContent>
            </v:textbox>
            <w10:wrap type="square" anchorx="page" anchory="page"/>
          </v:shape>
        </w:pict>
      </w:r>
      <w:proofErr w:type="gramStart"/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>pública</w:t>
      </w:r>
      <w:proofErr w:type="gramEnd"/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 y de estar inscrito en el Registro Público.... Lo anterior, por cuanto hemos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admitido que ante la ausencia de regulación en la Ley de Contratación Administrativa, la materia de representación debe verse, para todo efecto a la luz de la legislación civil, que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resulta muy amplia en lo que a convalidación se refiere. (...) La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lastRenderedPageBreak/>
        <w:t xml:space="preserve">especificidad de los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poderes especiales, en gran medida responde a que su otorgamiento no está sujeto a </w:t>
      </w:r>
      <w:r>
        <w:rPr>
          <w:rStyle w:val="CharacterStyle4"/>
          <w:i/>
          <w:iCs/>
          <w:spacing w:val="4"/>
          <w:w w:val="105"/>
          <w:sz w:val="24"/>
          <w:szCs w:val="24"/>
          <w:lang w:val="es-ES" w:eastAsia="es-ES"/>
        </w:rPr>
        <w:t xml:space="preserve">mayores requisitos, salvo la claridad de su texto y lo que se disponga para casos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particulares, como lo indicado en el Código de Comercio. De allí que no cualquier poder </w:t>
      </w:r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 xml:space="preserve">pueda tenerse como especial, aún y cuando así se titule; si su texto resulta en alguna forma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impreciso o </w:t>
      </w:r>
      <w:proofErr w:type="spellStart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ambigüo</w:t>
      </w:r>
      <w:proofErr w:type="spellEnd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 (sic), no sería en ese tanto válido frente a terceros. En este caso y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luego de las aclaraciones, los poderes no sólo se titulan "especiales", sino que también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ligan todas las actuaciones de los mandatarios a la Licitación Pública Internacional de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mérito, pese a lo cual observamos en su texto una generalidad contraria a la especificidad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requerida. Por ejemplo, decir que se puede instaurar cualquier acción judicial es algo </w:t>
      </w:r>
      <w:r>
        <w:rPr>
          <w:rStyle w:val="CharacterStyle4"/>
          <w:i/>
          <w:iCs/>
          <w:spacing w:val="18"/>
          <w:w w:val="105"/>
          <w:sz w:val="24"/>
          <w:szCs w:val="24"/>
          <w:lang w:val="es-ES" w:eastAsia="es-ES"/>
        </w:rPr>
        <w:t xml:space="preserve">indefinido, que tanto incluye un juicio contencioso, como una acción de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inconstitucionalidad, obviando que el poder especial debe ser tan concreto, que ni siquiera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se admiten las actuaciones que naturalmente se desprendan de otras autorizadas."</w:t>
      </w:r>
    </w:p>
    <w:p w:rsidR="00D76CAC" w:rsidRDefault="00D76CAC" w:rsidP="00D76CAC">
      <w:pPr>
        <w:pStyle w:val="Style4"/>
        <w:kinsoku w:val="0"/>
        <w:autoSpaceDE/>
        <w:autoSpaceDN/>
        <w:adjustRightInd/>
        <w:spacing w:before="468" w:line="199" w:lineRule="auto"/>
        <w:ind w:left="72" w:right="72"/>
        <w:jc w:val="both"/>
        <w:rPr>
          <w:rStyle w:val="CharacterStyle4"/>
          <w:rFonts w:ascii="Garamond" w:hAnsi="Garamond" w:cs="Garamond"/>
          <w:spacing w:val="-7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pacing w:val="-11"/>
          <w:sz w:val="27"/>
          <w:szCs w:val="27"/>
          <w:lang w:val="es-ES" w:eastAsia="es-ES"/>
        </w:rPr>
        <w:t xml:space="preserve">En virtud de no existir una adecuada representación por parte del señor Porras Solís, lo que </w:t>
      </w:r>
      <w:r>
        <w:rPr>
          <w:rStyle w:val="CharacterStyle4"/>
          <w:rFonts w:ascii="Garamond" w:hAnsi="Garamond" w:cs="Garamond"/>
          <w:spacing w:val="1"/>
          <w:sz w:val="27"/>
          <w:szCs w:val="27"/>
          <w:lang w:val="es-ES" w:eastAsia="es-ES"/>
        </w:rPr>
        <w:t xml:space="preserve">conlleva la falta de legitimación para interponer el presente recurso de apelación, </w:t>
      </w:r>
      <w:r>
        <w:rPr>
          <w:rStyle w:val="CharacterStyle4"/>
          <w:rFonts w:ascii="Garamond" w:hAnsi="Garamond" w:cs="Garamond"/>
          <w:spacing w:val="-7"/>
          <w:sz w:val="27"/>
          <w:szCs w:val="27"/>
          <w:lang w:val="es-ES" w:eastAsia="es-ES"/>
        </w:rPr>
        <w:t>procede su rechazo ad portas y no es posible entrar a conocer el fondo del asunto.</w:t>
      </w:r>
    </w:p>
    <w:p w:rsidR="00D76CAC" w:rsidRDefault="00D76CAC" w:rsidP="00D76CAC">
      <w:pPr>
        <w:pStyle w:val="Style4"/>
        <w:kinsoku w:val="0"/>
        <w:autoSpaceDE/>
        <w:autoSpaceDN/>
        <w:adjustRightInd/>
        <w:spacing w:before="216" w:line="204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D76CAC" w:rsidRDefault="00D76CAC" w:rsidP="00D76CAC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96"/>
        <w:ind w:left="74" w:right="74" w:firstLine="74"/>
        <w:jc w:val="both"/>
        <w:rPr>
          <w:rStyle w:val="CharacterStyle4"/>
          <w:rFonts w:ascii="Garamond" w:hAnsi="Garamond" w:cs="Garamond"/>
          <w:spacing w:val="-8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pacing w:val="-9"/>
          <w:sz w:val="27"/>
          <w:szCs w:val="27"/>
          <w:lang w:val="es-ES" w:eastAsia="es-ES"/>
        </w:rPr>
        <w:t xml:space="preserve">Se rechaza ad portas el Recurso de Apelación en subsidio presentado a favor del señor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DASP, cédula de identidad </w:t>
      </w:r>
      <w:proofErr w:type="gramStart"/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., por el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señor MAPS, cédula de identidad …, </w:t>
      </w:r>
      <w:r>
        <w:rPr>
          <w:rStyle w:val="CharacterStyle4"/>
          <w:rFonts w:ascii="Garamond" w:hAnsi="Garamond" w:cs="Garamond"/>
          <w:spacing w:val="-2"/>
          <w:sz w:val="27"/>
          <w:szCs w:val="27"/>
          <w:lang w:val="es-ES" w:eastAsia="es-ES"/>
        </w:rPr>
        <w:t xml:space="preserve">contra el Artículo 1° </w:t>
      </w:r>
      <w:r>
        <w:rPr>
          <w:rStyle w:val="CharacterStyle4"/>
          <w:rFonts w:ascii="Garamond" w:hAnsi="Garamond" w:cs="Garamond"/>
          <w:spacing w:val="-7"/>
          <w:sz w:val="27"/>
          <w:szCs w:val="27"/>
          <w:lang w:val="es-ES" w:eastAsia="es-ES"/>
        </w:rPr>
        <w:t xml:space="preserve">de la Sesión Extraordinaria N° 37-2001 de fecha 24 de octubre del 01 de Junta Directiva </w:t>
      </w:r>
      <w:r>
        <w:rPr>
          <w:rStyle w:val="CharacterStyle4"/>
          <w:rFonts w:ascii="Garamond" w:hAnsi="Garamond" w:cs="Garamond"/>
          <w:spacing w:val="-8"/>
          <w:sz w:val="27"/>
          <w:szCs w:val="27"/>
          <w:lang w:val="es-ES" w:eastAsia="es-ES"/>
        </w:rPr>
        <w:t>del Consejo de Transporte Público, por lo que no se entra a conocer el fondo del asunto.</w:t>
      </w:r>
    </w:p>
    <w:p w:rsidR="00D76CAC" w:rsidRDefault="00D76CAC" w:rsidP="00D76CAC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24" w:line="211" w:lineRule="auto"/>
        <w:rPr>
          <w:rStyle w:val="CharacterStyle4"/>
          <w:rFonts w:ascii="Garamond" w:hAnsi="Garamond" w:cs="Garamond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>Se confirma en lo aquí indicado el acuerdo impugnado.</w:t>
      </w:r>
    </w:p>
    <w:p w:rsidR="00D76CAC" w:rsidRDefault="00D76CAC" w:rsidP="00D76CAC">
      <w:pPr>
        <w:pStyle w:val="Style4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216" w:line="281" w:lineRule="exact"/>
        <w:ind w:right="72"/>
        <w:jc w:val="both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rFonts w:ascii="Garamond" w:hAnsi="Garamond" w:cs="Garamond"/>
          <w:spacing w:val="-5"/>
          <w:sz w:val="27"/>
          <w:szCs w:val="27"/>
          <w:lang w:val="es-ES" w:eastAsia="es-ES"/>
        </w:rPr>
        <w:t xml:space="preserve">De conformidad con el artículo 22, inciso c), de la citada Ley 7969, el presente fallo </w:t>
      </w: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tiene </w:t>
      </w:r>
      <w:r>
        <w:rPr>
          <w:rStyle w:val="CharacterStyle4"/>
          <w:rFonts w:ascii="Garamond" w:hAnsi="Garamond" w:cs="Garamond"/>
          <w:i/>
          <w:iCs/>
          <w:sz w:val="21"/>
          <w:szCs w:val="21"/>
          <w:lang w:val="es-ES" w:eastAsia="es-ES"/>
        </w:rPr>
        <w:t xml:space="preserve">por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agotada </w:t>
      </w:r>
      <w:r>
        <w:rPr>
          <w:rStyle w:val="CharacterStyle4"/>
          <w:rFonts w:ascii="Garamond" w:hAnsi="Garamond" w:cs="Garamond"/>
          <w:i/>
          <w:iCs/>
          <w:sz w:val="21"/>
          <w:szCs w:val="21"/>
          <w:lang w:val="es-ES" w:eastAsia="es-ES"/>
        </w:rPr>
        <w:t xml:space="preserve">la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vía administrativa.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NOTIFIQUESE.-</w:t>
      </w:r>
    </w:p>
    <w:p w:rsidR="00D76CAC" w:rsidRDefault="00D76CAC" w:rsidP="00D76CAC">
      <w:pPr>
        <w:widowControl/>
        <w:kinsoku/>
        <w:autoSpaceDE w:val="0"/>
        <w:autoSpaceDN w:val="0"/>
        <w:adjustRightInd w:val="0"/>
        <w:sectPr w:rsidR="00D76CAC">
          <w:type w:val="continuous"/>
          <w:pgSz w:w="12240" w:h="15840"/>
          <w:pgMar w:top="1420" w:right="1540" w:bottom="1230" w:left="1600" w:header="720" w:footer="720" w:gutter="0"/>
          <w:cols w:space="720"/>
          <w:noEndnote/>
        </w:sectPr>
      </w:pPr>
    </w:p>
    <w:p w:rsidR="00D76CAC" w:rsidRDefault="00D76CAC" w:rsidP="00D76CAC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lastRenderedPageBreak/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D76CAC" w:rsidRDefault="00D76CAC" w:rsidP="00D76CAC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D76CAC" w:rsidRDefault="00D76CAC" w:rsidP="00D76CAC">
      <w:pPr>
        <w:ind w:left="993"/>
        <w:jc w:val="center"/>
        <w:rPr>
          <w:sz w:val="26"/>
          <w:szCs w:val="26"/>
        </w:rPr>
      </w:pPr>
    </w:p>
    <w:p w:rsidR="00D76CAC" w:rsidRDefault="00D76CAC" w:rsidP="00D76CAC">
      <w:pPr>
        <w:ind w:left="993"/>
        <w:rPr>
          <w:sz w:val="26"/>
          <w:szCs w:val="26"/>
        </w:rPr>
      </w:pPr>
    </w:p>
    <w:p w:rsidR="00D76CAC" w:rsidRDefault="00D76CAC" w:rsidP="00D76CAC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D76CAC" w:rsidRDefault="00D76CAC" w:rsidP="00D76CAC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D76CAC" w:rsidRDefault="00D76CAC" w:rsidP="00D76CAC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D76CAC" w:rsidRDefault="00D76CAC" w:rsidP="00D76CAC">
      <w:pPr>
        <w:spacing w:before="3941" w:line="288" w:lineRule="exact"/>
        <w:rPr>
          <w:rFonts w:ascii="Arial" w:hAnsi="Arial" w:cs="Arial"/>
          <w:color w:val="FFFFFF"/>
          <w:sz w:val="14"/>
          <w:szCs w:val="14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margin-left:122.1pt;margin-top:57.45pt;width:53.8pt;height:17.25pt;z-index:251662336;mso-wrap-edited:f;mso-wrap-distance-left:0;mso-wrap-distance-right:0" wrapcoords="-62 0 -62 21600 21662 21600 21662 0 -62 0" o:allowincell="f" stroked="f">
            <v:fill opacity="0"/>
            <v:textbox style="mso-next-textbox:#_x0000_s1028" inset="0,0,0,0">
              <w:txbxContent>
                <w:p w:rsidR="00D76CAC" w:rsidRPr="00DB403A" w:rsidRDefault="00D76CAC" w:rsidP="00D76CAC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9" type="#_x0000_t202" style="position:absolute;margin-left:122.1pt;margin-top:98.7pt;width:120.25pt;height:14.4pt;z-index:251663360;mso-wrap-edited:f;mso-wrap-distance-left:0;mso-wrap-distance-right:0" wrapcoords="-62 0 -62 21600 21662 21600 21662 0 -62 0" o:allowincell="f" stroked="f">
            <v:fill opacity="0"/>
            <v:textbox style="mso-next-textbox:#_x0000_s1029" inset="0,0,0,0">
              <w:txbxContent>
                <w:p w:rsidR="00D76CAC" w:rsidRPr="00DB403A" w:rsidRDefault="00D76CAC" w:rsidP="00D76CAC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30" type="#_x0000_t202" style="position:absolute;margin-left:122.1pt;margin-top:142.15pt;width:109.7pt;height:11.75pt;z-index:251664384;mso-wrap-edited:f;mso-wrap-distance-left:0;mso-wrap-distance-right:0" wrapcoords="-62 0 -62 21600 21662 21600 21662 0 -62 0" o:allowincell="f" stroked="f">
            <v:fill opacity="0"/>
            <v:textbox style="mso-next-textbox:#_x0000_s1030" inset="0,0,0,0">
              <w:txbxContent>
                <w:p w:rsidR="00D76CAC" w:rsidRPr="00DB403A" w:rsidRDefault="00D76CAC" w:rsidP="00D76CAC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</v:shape>
        </w:pict>
      </w:r>
    </w:p>
    <w:p w:rsidR="00F07A18" w:rsidRDefault="00F07A18"/>
    <w:sectPr w:rsidR="00F07A18">
      <w:type w:val="continuous"/>
      <w:pgSz w:w="12240" w:h="15840"/>
      <w:pgMar w:top="2380" w:right="826" w:bottom="390" w:left="9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ED11"/>
    <w:multiLevelType w:val="singleLevel"/>
    <w:tmpl w:val="1885CFFB"/>
    <w:lvl w:ilvl="0">
      <w:start w:val="1"/>
      <w:numFmt w:val="upperRoman"/>
      <w:lvlText w:val="%1.-"/>
      <w:lvlJc w:val="left"/>
      <w:pPr>
        <w:tabs>
          <w:tab w:val="num" w:pos="288"/>
        </w:tabs>
        <w:ind w:left="72" w:firstLine="72"/>
      </w:pPr>
      <w:rPr>
        <w:rFonts w:ascii="Garamond" w:hAnsi="Garamond" w:cs="Garamond"/>
        <w:snapToGrid/>
        <w:spacing w:val="-9"/>
        <w:sz w:val="27"/>
        <w:szCs w:val="27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72" w:firstLine="72"/>
        </w:pPr>
        <w:rPr>
          <w:rFonts w:ascii="Garamond" w:hAnsi="Garamond" w:cs="Garamond"/>
          <w:snapToGrid/>
          <w:sz w:val="27"/>
          <w:szCs w:val="27"/>
        </w:rPr>
      </w:lvl>
    </w:lvlOverride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ascii="Garamond" w:hAnsi="Garamond" w:cs="Garamond"/>
          <w:snapToGrid/>
          <w:spacing w:val="-5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CAC"/>
    <w:rsid w:val="002E6696"/>
    <w:rsid w:val="003819BC"/>
    <w:rsid w:val="003D5801"/>
    <w:rsid w:val="006A5EC0"/>
    <w:rsid w:val="0099644F"/>
    <w:rsid w:val="009D7938"/>
    <w:rsid w:val="00A71D2C"/>
    <w:rsid w:val="00B43B43"/>
    <w:rsid w:val="00CA79F1"/>
    <w:rsid w:val="00D76CA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A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D76CAC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">
    <w:name w:val="Style 1"/>
    <w:basedOn w:val="Normal"/>
    <w:uiPriority w:val="99"/>
    <w:rsid w:val="00D76CAC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D76CAC"/>
    <w:pPr>
      <w:kinsoku/>
      <w:autoSpaceDE w:val="0"/>
      <w:autoSpaceDN w:val="0"/>
      <w:spacing w:before="216" w:line="276" w:lineRule="exact"/>
      <w:ind w:left="72" w:right="72"/>
      <w:jc w:val="both"/>
    </w:pPr>
  </w:style>
  <w:style w:type="paragraph" w:customStyle="1" w:styleId="Style5">
    <w:name w:val="Style 5"/>
    <w:basedOn w:val="Normal"/>
    <w:uiPriority w:val="99"/>
    <w:rsid w:val="00D76CAC"/>
    <w:pPr>
      <w:kinsoku/>
      <w:autoSpaceDE w:val="0"/>
      <w:autoSpaceDN w:val="0"/>
      <w:spacing w:before="216"/>
      <w:ind w:left="72" w:right="72"/>
      <w:jc w:val="both"/>
    </w:pPr>
  </w:style>
  <w:style w:type="paragraph" w:customStyle="1" w:styleId="Style4">
    <w:name w:val="Style 4"/>
    <w:basedOn w:val="Normal"/>
    <w:uiPriority w:val="99"/>
    <w:rsid w:val="00D76CAC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D76CAC"/>
    <w:rPr>
      <w:sz w:val="24"/>
    </w:rPr>
  </w:style>
  <w:style w:type="character" w:customStyle="1" w:styleId="CharacterStyle4">
    <w:name w:val="Character Style 4"/>
    <w:uiPriority w:val="99"/>
    <w:rsid w:val="00D76CA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1725</Words>
  <Characters>9493</Characters>
  <Application>Microsoft Office Word</Application>
  <DocSecurity>0</DocSecurity>
  <Lines>79</Lines>
  <Paragraphs>22</Paragraphs>
  <ScaleCrop>false</ScaleCrop>
  <Company/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2013-09-05T19:51:00Z</dcterms:created>
  <dcterms:modified xsi:type="dcterms:W3CDTF">2013-09-05T19:52:00Z</dcterms:modified>
</cp:coreProperties>
</file>